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89"/>
        <w:gridCol w:w="567"/>
        <w:gridCol w:w="1842"/>
        <w:gridCol w:w="2410"/>
        <w:gridCol w:w="70"/>
        <w:gridCol w:w="5052"/>
        <w:gridCol w:w="2527"/>
      </w:tblGrid>
      <w:tr w:rsidR="00B85BDF" w:rsidRPr="0092066C" w:rsidTr="00B85BDF">
        <w:tc>
          <w:tcPr>
            <w:tcW w:w="15157" w:type="dxa"/>
            <w:gridSpan w:val="7"/>
            <w:shd w:val="clear" w:color="auto" w:fill="385623" w:themeFill="accent6" w:themeFillShade="80"/>
          </w:tcPr>
          <w:p w:rsidR="00B85BDF" w:rsidRPr="0092066C" w:rsidRDefault="00B85BDF" w:rsidP="00B85BDF">
            <w:pPr>
              <w:jc w:val="center"/>
              <w:rPr>
                <w:b/>
                <w:color w:val="FFFFFF" w:themeColor="background1"/>
                <w:sz w:val="32"/>
              </w:rPr>
            </w:pPr>
            <w:r w:rsidRPr="0092066C">
              <w:rPr>
                <w:b/>
                <w:color w:val="FFFFFF" w:themeColor="background1"/>
                <w:sz w:val="32"/>
              </w:rPr>
              <w:t>CATCH UP PREMIUM SPENDING PLAN</w:t>
            </w:r>
          </w:p>
        </w:tc>
      </w:tr>
      <w:tr w:rsidR="00B85BDF" w:rsidTr="00B85BDF">
        <w:tc>
          <w:tcPr>
            <w:tcW w:w="3256" w:type="dxa"/>
            <w:gridSpan w:val="2"/>
          </w:tcPr>
          <w:p w:rsidR="00B85BDF" w:rsidRDefault="00B85BDF">
            <w:r>
              <w:t>School</w:t>
            </w:r>
          </w:p>
        </w:tc>
        <w:tc>
          <w:tcPr>
            <w:tcW w:w="11901" w:type="dxa"/>
            <w:gridSpan w:val="5"/>
          </w:tcPr>
          <w:p w:rsidR="00B85BDF" w:rsidRPr="00B85BDF" w:rsidRDefault="00785AA7">
            <w:pPr>
              <w:rPr>
                <w:b/>
              </w:rPr>
            </w:pPr>
            <w:r>
              <w:rPr>
                <w:b/>
              </w:rPr>
              <w:t xml:space="preserve">Wimbledon Park Primary School </w:t>
            </w:r>
          </w:p>
        </w:tc>
      </w:tr>
      <w:tr w:rsidR="00B85BDF" w:rsidTr="00B85BDF">
        <w:trPr>
          <w:trHeight w:val="397"/>
        </w:trPr>
        <w:tc>
          <w:tcPr>
            <w:tcW w:w="5098" w:type="dxa"/>
            <w:gridSpan w:val="3"/>
            <w:tcBorders>
              <w:bottom w:val="single" w:sz="4" w:space="0" w:color="auto"/>
            </w:tcBorders>
          </w:tcPr>
          <w:p w:rsidR="00B85BDF" w:rsidRDefault="00B85BDF">
            <w:r>
              <w:t>Total Catch up premium £</w:t>
            </w:r>
          </w:p>
        </w:tc>
        <w:tc>
          <w:tcPr>
            <w:tcW w:w="2410" w:type="dxa"/>
            <w:tcBorders>
              <w:bottom w:val="single" w:sz="4" w:space="0" w:color="auto"/>
            </w:tcBorders>
          </w:tcPr>
          <w:p w:rsidR="00B85BDF" w:rsidRPr="00A236D8" w:rsidRDefault="00A236D8" w:rsidP="00A236D8">
            <w:pPr>
              <w:jc w:val="center"/>
              <w:rPr>
                <w:b/>
              </w:rPr>
            </w:pPr>
            <w:r w:rsidRPr="00A236D8">
              <w:rPr>
                <w:b/>
              </w:rPr>
              <w:t>£</w:t>
            </w:r>
            <w:r w:rsidR="00502A57">
              <w:rPr>
                <w:b/>
              </w:rPr>
              <w:t>50</w:t>
            </w:r>
            <w:r w:rsidRPr="00A236D8">
              <w:rPr>
                <w:b/>
              </w:rPr>
              <w:t>,000</w:t>
            </w:r>
          </w:p>
        </w:tc>
        <w:tc>
          <w:tcPr>
            <w:tcW w:w="5122" w:type="dxa"/>
            <w:gridSpan w:val="2"/>
            <w:tcBorders>
              <w:bottom w:val="single" w:sz="4" w:space="0" w:color="auto"/>
            </w:tcBorders>
          </w:tcPr>
          <w:p w:rsidR="00B85BDF" w:rsidRDefault="00B85BDF">
            <w:r>
              <w:t>Number of pupils on roll</w:t>
            </w:r>
          </w:p>
        </w:tc>
        <w:tc>
          <w:tcPr>
            <w:tcW w:w="2527" w:type="dxa"/>
            <w:tcBorders>
              <w:bottom w:val="single" w:sz="4" w:space="0" w:color="auto"/>
            </w:tcBorders>
          </w:tcPr>
          <w:p w:rsidR="00B85BDF" w:rsidRDefault="00785AA7" w:rsidP="00B85BDF">
            <w:pPr>
              <w:jc w:val="center"/>
            </w:pPr>
            <w:r>
              <w:t>605 (exc. Nursery)</w:t>
            </w:r>
          </w:p>
        </w:tc>
      </w:tr>
      <w:tr w:rsidR="00B85BDF" w:rsidRPr="00B85BDF" w:rsidTr="00B85BDF">
        <w:trPr>
          <w:trHeight w:val="397"/>
        </w:trPr>
        <w:tc>
          <w:tcPr>
            <w:tcW w:w="15157" w:type="dxa"/>
            <w:gridSpan w:val="7"/>
            <w:shd w:val="clear" w:color="auto" w:fill="385623" w:themeFill="accent6" w:themeFillShade="80"/>
          </w:tcPr>
          <w:p w:rsidR="00B85BDF" w:rsidRPr="00B85BDF" w:rsidRDefault="00B85BDF">
            <w:pPr>
              <w:rPr>
                <w:b/>
                <w:color w:val="FFFFFF" w:themeColor="background1"/>
                <w:sz w:val="24"/>
              </w:rPr>
            </w:pPr>
            <w:r w:rsidRPr="00B85BDF">
              <w:rPr>
                <w:b/>
                <w:color w:val="FFFFFF" w:themeColor="background1"/>
                <w:sz w:val="24"/>
              </w:rPr>
              <w:t>Guidance</w:t>
            </w:r>
          </w:p>
        </w:tc>
      </w:tr>
      <w:tr w:rsidR="00B85BDF" w:rsidTr="00B85BDF">
        <w:tc>
          <w:tcPr>
            <w:tcW w:w="15157" w:type="dxa"/>
            <w:gridSpan w:val="7"/>
          </w:tcPr>
          <w:p w:rsidR="00B85BDF" w:rsidRDefault="00B85BDF" w:rsidP="00B85BDF">
            <w:r>
              <w:t xml:space="preserve">Children and young people across the country have experienced unprecedented disruption to their education as a result of coronavirus (COVID-19). Those from the most vulnerable and disadvantaged backgrounds will be among </w:t>
            </w:r>
            <w:proofErr w:type="gramStart"/>
            <w:r>
              <w:t>those hardest hit</w:t>
            </w:r>
            <w:proofErr w:type="gramEnd"/>
            <w:r>
              <w:t xml:space="preserve">. Schools’ allocations </w:t>
            </w:r>
            <w:proofErr w:type="gramStart"/>
            <w:r w:rsidR="00785AA7">
              <w:t>has</w:t>
            </w:r>
            <w:proofErr w:type="gramEnd"/>
            <w:r>
              <w:t xml:space="preserve"> be</w:t>
            </w:r>
            <w:r w:rsidR="00785AA7">
              <w:t>en</w:t>
            </w:r>
            <w:r>
              <w:t xml:space="preserve"> calculated on a per pupil basis, providing each mainstream school with a total of £80 for each pupil in years reception through to 11. 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tc>
      </w:tr>
      <w:tr w:rsidR="00B85BDF" w:rsidTr="00B85BDF">
        <w:trPr>
          <w:trHeight w:val="397"/>
        </w:trPr>
        <w:tc>
          <w:tcPr>
            <w:tcW w:w="7578" w:type="dxa"/>
            <w:gridSpan w:val="5"/>
            <w:shd w:val="clear" w:color="auto" w:fill="385623" w:themeFill="accent6" w:themeFillShade="80"/>
          </w:tcPr>
          <w:p w:rsidR="00B85BDF" w:rsidRPr="00B85BDF" w:rsidRDefault="00B85BDF">
            <w:pPr>
              <w:rPr>
                <w:b/>
                <w:color w:val="FFFFFF" w:themeColor="background1"/>
                <w:sz w:val="24"/>
              </w:rPr>
            </w:pPr>
            <w:r w:rsidRPr="00B85BDF">
              <w:rPr>
                <w:b/>
                <w:color w:val="FFFFFF" w:themeColor="background1"/>
                <w:sz w:val="24"/>
              </w:rPr>
              <w:t>Use of funds</w:t>
            </w:r>
          </w:p>
        </w:tc>
        <w:tc>
          <w:tcPr>
            <w:tcW w:w="7579" w:type="dxa"/>
            <w:gridSpan w:val="2"/>
            <w:shd w:val="clear" w:color="auto" w:fill="385623" w:themeFill="accent6" w:themeFillShade="80"/>
          </w:tcPr>
          <w:p w:rsidR="00B85BDF" w:rsidRPr="00B85BDF" w:rsidRDefault="00B85BDF">
            <w:pPr>
              <w:rPr>
                <w:b/>
                <w:color w:val="FFFFFF" w:themeColor="background1"/>
                <w:sz w:val="24"/>
              </w:rPr>
            </w:pPr>
            <w:r w:rsidRPr="00B85BDF">
              <w:rPr>
                <w:b/>
                <w:color w:val="FFFFFF" w:themeColor="background1"/>
                <w:sz w:val="24"/>
              </w:rPr>
              <w:t>EEF Recommendations</w:t>
            </w:r>
          </w:p>
        </w:tc>
      </w:tr>
      <w:tr w:rsidR="00B85BDF" w:rsidTr="00B85BDF">
        <w:tc>
          <w:tcPr>
            <w:tcW w:w="7578" w:type="dxa"/>
            <w:gridSpan w:val="5"/>
          </w:tcPr>
          <w:p w:rsidR="00B85BDF" w:rsidRDefault="00B85BDF" w:rsidP="00B85BDF">
            <w:r>
              <w:t>Schools should use this funding for specific activities to support their pupils to catch up for lost teaching over the previous months, in line with the guidance</w:t>
            </w:r>
          </w:p>
          <w:p w:rsidR="00B85BDF" w:rsidRDefault="00B85BDF" w:rsidP="00B85BDF">
            <w:r>
              <w:t>on curriculum expectations for the next academic year. Schools have the flexibility to spend their funding in the best way for their cohort and circumstances.</w:t>
            </w:r>
          </w:p>
          <w:p w:rsidR="00B85BDF" w:rsidRDefault="00B85BDF" w:rsidP="00B85BDF"/>
          <w:p w:rsidR="00B85BDF" w:rsidRDefault="00B85BDF" w:rsidP="00B85BDF">
            <w:r>
              <w:t>To support schools to make the best use of this funding, the Education Endowment Foundation (EEF) has published a coronavirus (COVID-19) support guide for schools with evidence-based approaches to catch up for all students. Schools should use this document to help them direct their additional funding in the most effective way.</w:t>
            </w:r>
          </w:p>
          <w:p w:rsidR="00B85BDF" w:rsidRDefault="00B85BDF"/>
        </w:tc>
        <w:tc>
          <w:tcPr>
            <w:tcW w:w="7579" w:type="dxa"/>
            <w:gridSpan w:val="2"/>
          </w:tcPr>
          <w:p w:rsidR="00B85BDF" w:rsidRPr="00B85BDF" w:rsidRDefault="00B85BDF" w:rsidP="00B85BDF">
            <w:pPr>
              <w:autoSpaceDE w:val="0"/>
              <w:autoSpaceDN w:val="0"/>
              <w:adjustRightInd w:val="0"/>
              <w:rPr>
                <w:rFonts w:ascii="Calibri" w:hAnsi="Calibri" w:cs="Calibri"/>
                <w:b/>
              </w:rPr>
            </w:pPr>
            <w:r w:rsidRPr="00B85BDF">
              <w:rPr>
                <w:rFonts w:ascii="Calibri" w:hAnsi="Calibri" w:cs="Calibri"/>
                <w:b/>
              </w:rPr>
              <w:t>Teaching and whole school strategies</w:t>
            </w:r>
          </w:p>
          <w:p w:rsidR="00B85BDF" w:rsidRDefault="00B85BDF" w:rsidP="00B85BDF">
            <w:pPr>
              <w:autoSpaceDE w:val="0"/>
              <w:autoSpaceDN w:val="0"/>
              <w:adjustRightInd w:val="0"/>
              <w:ind w:left="720"/>
              <w:rPr>
                <w:rFonts w:ascii="Calibri" w:hAnsi="Calibri" w:cs="Calibri"/>
              </w:rPr>
            </w:pPr>
            <w:r>
              <w:rPr>
                <w:rFonts w:ascii="Calibri" w:hAnsi="Calibri" w:cs="Calibri"/>
              </w:rPr>
              <w:t>Supporting great teaching</w:t>
            </w:r>
          </w:p>
          <w:p w:rsidR="00B85BDF" w:rsidRDefault="00B85BDF" w:rsidP="00B85BDF">
            <w:pPr>
              <w:autoSpaceDE w:val="0"/>
              <w:autoSpaceDN w:val="0"/>
              <w:adjustRightInd w:val="0"/>
              <w:ind w:left="720"/>
              <w:rPr>
                <w:rFonts w:ascii="Calibri" w:hAnsi="Calibri" w:cs="Calibri"/>
              </w:rPr>
            </w:pPr>
            <w:r>
              <w:rPr>
                <w:rFonts w:ascii="Calibri" w:hAnsi="Calibri" w:cs="Calibri"/>
              </w:rPr>
              <w:t>Pupil assessment and feedback</w:t>
            </w:r>
          </w:p>
          <w:p w:rsidR="00B85BDF" w:rsidRDefault="00B85BDF" w:rsidP="00B85BDF">
            <w:pPr>
              <w:autoSpaceDE w:val="0"/>
              <w:autoSpaceDN w:val="0"/>
              <w:adjustRightInd w:val="0"/>
              <w:ind w:left="720"/>
              <w:rPr>
                <w:rFonts w:ascii="Calibri" w:hAnsi="Calibri" w:cs="Calibri"/>
              </w:rPr>
            </w:pPr>
            <w:r>
              <w:rPr>
                <w:rFonts w:ascii="Calibri" w:hAnsi="Calibri" w:cs="Calibri"/>
              </w:rPr>
              <w:t>Transition support</w:t>
            </w:r>
          </w:p>
          <w:p w:rsidR="00B85BDF" w:rsidRPr="00B85BDF" w:rsidRDefault="00B85BDF" w:rsidP="00B85BDF">
            <w:pPr>
              <w:autoSpaceDE w:val="0"/>
              <w:autoSpaceDN w:val="0"/>
              <w:adjustRightInd w:val="0"/>
              <w:rPr>
                <w:rFonts w:ascii="Calibri" w:hAnsi="Calibri" w:cs="Calibri"/>
                <w:b/>
              </w:rPr>
            </w:pPr>
            <w:r w:rsidRPr="00B85BDF">
              <w:rPr>
                <w:rFonts w:ascii="Calibri" w:hAnsi="Calibri" w:cs="Calibri"/>
                <w:b/>
              </w:rPr>
              <w:t>Targeted approaches</w:t>
            </w:r>
          </w:p>
          <w:p w:rsidR="00B85BDF" w:rsidRDefault="00B85BDF" w:rsidP="00B85BDF">
            <w:pPr>
              <w:autoSpaceDE w:val="0"/>
              <w:autoSpaceDN w:val="0"/>
              <w:adjustRightInd w:val="0"/>
              <w:ind w:left="720"/>
              <w:rPr>
                <w:rFonts w:ascii="Calibri" w:hAnsi="Calibri" w:cs="Calibri"/>
              </w:rPr>
            </w:pPr>
            <w:r>
              <w:rPr>
                <w:rFonts w:ascii="Calibri" w:hAnsi="Calibri" w:cs="Calibri"/>
              </w:rPr>
              <w:t>One to one and small group tuition</w:t>
            </w:r>
          </w:p>
          <w:p w:rsidR="00B85BDF" w:rsidRDefault="00B85BDF" w:rsidP="00B85BDF">
            <w:pPr>
              <w:autoSpaceDE w:val="0"/>
              <w:autoSpaceDN w:val="0"/>
              <w:adjustRightInd w:val="0"/>
              <w:ind w:left="720"/>
              <w:rPr>
                <w:rFonts w:ascii="Calibri" w:hAnsi="Calibri" w:cs="Calibri"/>
              </w:rPr>
            </w:pPr>
            <w:r>
              <w:rPr>
                <w:rFonts w:ascii="Calibri" w:hAnsi="Calibri" w:cs="Calibri"/>
              </w:rPr>
              <w:t>Intervention programmes</w:t>
            </w:r>
          </w:p>
          <w:p w:rsidR="00B85BDF" w:rsidRDefault="00B85BDF" w:rsidP="00B85BDF">
            <w:pPr>
              <w:autoSpaceDE w:val="0"/>
              <w:autoSpaceDN w:val="0"/>
              <w:adjustRightInd w:val="0"/>
              <w:ind w:left="720"/>
              <w:rPr>
                <w:rFonts w:ascii="Calibri" w:hAnsi="Calibri" w:cs="Calibri"/>
              </w:rPr>
            </w:pPr>
            <w:r>
              <w:rPr>
                <w:rFonts w:ascii="Calibri" w:hAnsi="Calibri" w:cs="Calibri"/>
              </w:rPr>
              <w:t>Extended school time</w:t>
            </w:r>
          </w:p>
          <w:p w:rsidR="00B85BDF" w:rsidRPr="00B85BDF" w:rsidRDefault="00B85BDF" w:rsidP="00B85BDF">
            <w:pPr>
              <w:autoSpaceDE w:val="0"/>
              <w:autoSpaceDN w:val="0"/>
              <w:adjustRightInd w:val="0"/>
              <w:rPr>
                <w:rFonts w:ascii="Calibri" w:hAnsi="Calibri" w:cs="Calibri"/>
                <w:b/>
              </w:rPr>
            </w:pPr>
            <w:r w:rsidRPr="00B85BDF">
              <w:rPr>
                <w:rFonts w:ascii="Calibri" w:hAnsi="Calibri" w:cs="Calibri"/>
                <w:b/>
              </w:rPr>
              <w:t>Wider strategies</w:t>
            </w:r>
          </w:p>
          <w:p w:rsidR="00B85BDF" w:rsidRDefault="00B85BDF" w:rsidP="00B85BDF">
            <w:pPr>
              <w:autoSpaceDE w:val="0"/>
              <w:autoSpaceDN w:val="0"/>
              <w:adjustRightInd w:val="0"/>
              <w:ind w:left="720"/>
              <w:rPr>
                <w:rFonts w:ascii="Calibri" w:hAnsi="Calibri" w:cs="Calibri"/>
              </w:rPr>
            </w:pPr>
            <w:r>
              <w:rPr>
                <w:rFonts w:ascii="Calibri" w:hAnsi="Calibri" w:cs="Calibri"/>
              </w:rPr>
              <w:t>Supporting parent and carers</w:t>
            </w:r>
          </w:p>
          <w:p w:rsidR="00B85BDF" w:rsidRDefault="00B85BDF" w:rsidP="00B85BDF">
            <w:pPr>
              <w:autoSpaceDE w:val="0"/>
              <w:autoSpaceDN w:val="0"/>
              <w:adjustRightInd w:val="0"/>
              <w:ind w:left="720"/>
              <w:rPr>
                <w:rFonts w:ascii="Calibri" w:hAnsi="Calibri" w:cs="Calibri"/>
              </w:rPr>
            </w:pPr>
            <w:r>
              <w:rPr>
                <w:rFonts w:ascii="Calibri" w:hAnsi="Calibri" w:cs="Calibri"/>
              </w:rPr>
              <w:t>Access to technology</w:t>
            </w:r>
          </w:p>
          <w:p w:rsidR="00B85BDF" w:rsidRDefault="00B85BDF" w:rsidP="00B85BDF">
            <w:pPr>
              <w:ind w:left="720"/>
            </w:pPr>
            <w:r>
              <w:rPr>
                <w:rFonts w:ascii="Calibri" w:hAnsi="Calibri" w:cs="Calibri"/>
              </w:rPr>
              <w:t>Summer support</w:t>
            </w:r>
          </w:p>
        </w:tc>
      </w:tr>
      <w:tr w:rsidR="0092066C" w:rsidTr="0092066C">
        <w:trPr>
          <w:trHeight w:val="397"/>
        </w:trPr>
        <w:tc>
          <w:tcPr>
            <w:tcW w:w="15157" w:type="dxa"/>
            <w:gridSpan w:val="7"/>
            <w:shd w:val="clear" w:color="auto" w:fill="385623" w:themeFill="accent6" w:themeFillShade="80"/>
          </w:tcPr>
          <w:p w:rsidR="0092066C" w:rsidRPr="00B85BDF" w:rsidRDefault="0092066C" w:rsidP="0092066C">
            <w:pPr>
              <w:rPr>
                <w:b/>
                <w:color w:val="FFFFFF" w:themeColor="background1"/>
                <w:sz w:val="24"/>
              </w:rPr>
            </w:pPr>
            <w:r>
              <w:rPr>
                <w:b/>
                <w:color w:val="FFFFFF" w:themeColor="background1"/>
                <w:sz w:val="24"/>
              </w:rPr>
              <w:t xml:space="preserve">Identified impact of </w:t>
            </w:r>
            <w:proofErr w:type="spellStart"/>
            <w:r>
              <w:rPr>
                <w:b/>
                <w:color w:val="FFFFFF" w:themeColor="background1"/>
                <w:sz w:val="24"/>
              </w:rPr>
              <w:t>Covid</w:t>
            </w:r>
            <w:proofErr w:type="spellEnd"/>
            <w:r>
              <w:rPr>
                <w:b/>
                <w:color w:val="FFFFFF" w:themeColor="background1"/>
                <w:sz w:val="24"/>
              </w:rPr>
              <w:t xml:space="preserve"> interruptions in 2020</w:t>
            </w:r>
          </w:p>
        </w:tc>
      </w:tr>
      <w:tr w:rsidR="00AF7028" w:rsidTr="00AF7028">
        <w:tc>
          <w:tcPr>
            <w:tcW w:w="2689" w:type="dxa"/>
          </w:tcPr>
          <w:p w:rsidR="00AF7028" w:rsidRDefault="00AF7028" w:rsidP="00AF7028">
            <w:r>
              <w:t>Reading</w:t>
            </w:r>
          </w:p>
        </w:tc>
        <w:tc>
          <w:tcPr>
            <w:tcW w:w="12468" w:type="dxa"/>
            <w:gridSpan w:val="6"/>
          </w:tcPr>
          <w:p w:rsidR="00AF7028" w:rsidRDefault="00AF7028" w:rsidP="00AF7028">
            <w:r>
              <w:t>Children accessed reading during lockdown more than any other subject. However, children are less fluent in their reading and the gap between those children that read widely and those children who didn’t has widened.  Reception, year 1 and year 2 missed significant amounts (and continuity) of phonics teaching in 2020 which needs to be caught up.</w:t>
            </w:r>
          </w:p>
        </w:tc>
      </w:tr>
      <w:tr w:rsidR="00AF7028" w:rsidTr="00AF7028">
        <w:tc>
          <w:tcPr>
            <w:tcW w:w="2689" w:type="dxa"/>
          </w:tcPr>
          <w:p w:rsidR="00AF7028" w:rsidRDefault="00AF7028" w:rsidP="00AF7028">
            <w:r>
              <w:t>Writing</w:t>
            </w:r>
          </w:p>
        </w:tc>
        <w:tc>
          <w:tcPr>
            <w:tcW w:w="12468" w:type="dxa"/>
            <w:gridSpan w:val="6"/>
          </w:tcPr>
          <w:p w:rsidR="00AF7028" w:rsidRDefault="00AF7028" w:rsidP="00AF7028">
            <w:r>
              <w:t>Writing, out of core skill areas, has perhaps been impacted the most significantly due to lockdown.  This is evidenced both in specific gaps in spelling and grammar skills as well as a loss of stamina, motivation and fluency.</w:t>
            </w:r>
          </w:p>
        </w:tc>
      </w:tr>
      <w:tr w:rsidR="00AF7028" w:rsidTr="00AF7028">
        <w:tc>
          <w:tcPr>
            <w:tcW w:w="2689" w:type="dxa"/>
          </w:tcPr>
          <w:p w:rsidR="00AF7028" w:rsidRDefault="00AF7028" w:rsidP="00AF7028">
            <w:r>
              <w:t>Maths</w:t>
            </w:r>
          </w:p>
        </w:tc>
        <w:tc>
          <w:tcPr>
            <w:tcW w:w="12468" w:type="dxa"/>
            <w:gridSpan w:val="6"/>
          </w:tcPr>
          <w:p w:rsidR="00AF7028" w:rsidRDefault="00AF7028" w:rsidP="00AF7028">
            <w:r>
              <w:t>Specific content has been missed, leading to gaps in learning and stalled sequencing of journeys. In addition, basic number and calculation fluency have suffered through not being sufficiently practised.</w:t>
            </w:r>
          </w:p>
        </w:tc>
      </w:tr>
      <w:tr w:rsidR="0092066C" w:rsidTr="0092066C">
        <w:tc>
          <w:tcPr>
            <w:tcW w:w="2689" w:type="dxa"/>
          </w:tcPr>
          <w:p w:rsidR="0092066C" w:rsidRDefault="00AF7028" w:rsidP="0092066C">
            <w:r>
              <w:t>Other subjects</w:t>
            </w:r>
          </w:p>
        </w:tc>
        <w:tc>
          <w:tcPr>
            <w:tcW w:w="12468" w:type="dxa"/>
            <w:gridSpan w:val="6"/>
          </w:tcPr>
          <w:p w:rsidR="0092066C" w:rsidRDefault="00AF7028" w:rsidP="00AF7028">
            <w:r>
              <w:t>There are now gaps in knowledge where units of work have not been taught</w:t>
            </w:r>
            <w:r w:rsidR="00785AA7">
              <w:t>,</w:t>
            </w:r>
            <w:r>
              <w:t xml:space="preserve"> meaning that children are less able to access prior knowledge when learning something new and they are less likely to make connections between concepts and themes throughout the curriculum.</w:t>
            </w:r>
            <w:r w:rsidR="00785AA7">
              <w:t xml:space="preserve"> Children have also missed out on experiential learning experiences through the cancellation of many trips. </w:t>
            </w:r>
          </w:p>
        </w:tc>
      </w:tr>
    </w:tbl>
    <w:p w:rsidR="00B85BDF" w:rsidRDefault="00B85BDF"/>
    <w:tbl>
      <w:tblPr>
        <w:tblStyle w:val="TableGrid"/>
        <w:tblW w:w="15157" w:type="dxa"/>
        <w:tblLook w:val="04A0" w:firstRow="1" w:lastRow="0" w:firstColumn="1" w:lastColumn="0" w:noHBand="0" w:noVBand="1"/>
      </w:tblPr>
      <w:tblGrid>
        <w:gridCol w:w="4531"/>
        <w:gridCol w:w="5387"/>
        <w:gridCol w:w="2835"/>
        <w:gridCol w:w="2404"/>
      </w:tblGrid>
      <w:tr w:rsidR="00AF7028" w:rsidTr="00A236D8">
        <w:trPr>
          <w:trHeight w:val="397"/>
        </w:trPr>
        <w:tc>
          <w:tcPr>
            <w:tcW w:w="12753" w:type="dxa"/>
            <w:gridSpan w:val="3"/>
            <w:shd w:val="clear" w:color="auto" w:fill="385623" w:themeFill="accent6" w:themeFillShade="80"/>
          </w:tcPr>
          <w:p w:rsidR="00AF7028" w:rsidRPr="00B85BDF" w:rsidRDefault="00AF7028" w:rsidP="00AF7028">
            <w:pPr>
              <w:rPr>
                <w:b/>
                <w:color w:val="FFFFFF" w:themeColor="background1"/>
                <w:sz w:val="24"/>
              </w:rPr>
            </w:pPr>
            <w:r>
              <w:rPr>
                <w:b/>
                <w:color w:val="FFFFFF" w:themeColor="background1"/>
                <w:sz w:val="24"/>
              </w:rPr>
              <w:lastRenderedPageBreak/>
              <w:t>Planned Expenditure – Teaching and Whole-</w:t>
            </w:r>
            <w:r w:rsidR="00A236D8">
              <w:rPr>
                <w:b/>
                <w:color w:val="FFFFFF" w:themeColor="background1"/>
                <w:sz w:val="24"/>
              </w:rPr>
              <w:t>S</w:t>
            </w:r>
            <w:r>
              <w:rPr>
                <w:b/>
                <w:color w:val="FFFFFF" w:themeColor="background1"/>
                <w:sz w:val="24"/>
              </w:rPr>
              <w:t xml:space="preserve">chool </w:t>
            </w:r>
            <w:r w:rsidR="00A236D8">
              <w:rPr>
                <w:b/>
                <w:color w:val="FFFFFF" w:themeColor="background1"/>
                <w:sz w:val="24"/>
              </w:rPr>
              <w:t>Strategies</w:t>
            </w:r>
          </w:p>
        </w:tc>
        <w:tc>
          <w:tcPr>
            <w:tcW w:w="2404" w:type="dxa"/>
            <w:shd w:val="clear" w:color="auto" w:fill="385623" w:themeFill="accent6" w:themeFillShade="80"/>
          </w:tcPr>
          <w:p w:rsidR="00AF7028" w:rsidRPr="00B85BDF" w:rsidRDefault="00A236D8" w:rsidP="00A236D8">
            <w:pPr>
              <w:jc w:val="center"/>
              <w:rPr>
                <w:b/>
                <w:color w:val="FFFFFF" w:themeColor="background1"/>
                <w:sz w:val="24"/>
              </w:rPr>
            </w:pPr>
            <w:r>
              <w:rPr>
                <w:b/>
                <w:color w:val="FFFFFF" w:themeColor="background1"/>
                <w:sz w:val="24"/>
              </w:rPr>
              <w:t>£</w:t>
            </w:r>
            <w:r w:rsidR="00154ECB">
              <w:rPr>
                <w:b/>
                <w:color w:val="FFFFFF" w:themeColor="background1"/>
                <w:sz w:val="24"/>
              </w:rPr>
              <w:t>1</w:t>
            </w:r>
            <w:bookmarkStart w:id="0" w:name="_GoBack"/>
            <w:bookmarkEnd w:id="0"/>
            <w:r w:rsidR="00A73C74">
              <w:rPr>
                <w:b/>
                <w:color w:val="FFFFFF" w:themeColor="background1"/>
                <w:sz w:val="24"/>
              </w:rPr>
              <w:t>8,660.47</w:t>
            </w:r>
          </w:p>
        </w:tc>
      </w:tr>
      <w:tr w:rsidR="00AF7028" w:rsidRPr="00A236D8" w:rsidTr="00AF7028">
        <w:tc>
          <w:tcPr>
            <w:tcW w:w="4531" w:type="dxa"/>
          </w:tcPr>
          <w:p w:rsidR="00AF7028" w:rsidRPr="00A236D8" w:rsidRDefault="00A236D8" w:rsidP="00AF7028">
            <w:pPr>
              <w:rPr>
                <w:b/>
              </w:rPr>
            </w:pPr>
            <w:r w:rsidRPr="00A236D8">
              <w:rPr>
                <w:b/>
              </w:rPr>
              <w:t>Desired outcome</w:t>
            </w:r>
          </w:p>
        </w:tc>
        <w:tc>
          <w:tcPr>
            <w:tcW w:w="5387" w:type="dxa"/>
          </w:tcPr>
          <w:p w:rsidR="00AF7028" w:rsidRPr="00A236D8" w:rsidRDefault="00A236D8" w:rsidP="00AF7028">
            <w:pPr>
              <w:rPr>
                <w:b/>
              </w:rPr>
            </w:pPr>
            <w:r w:rsidRPr="00A236D8">
              <w:rPr>
                <w:b/>
              </w:rPr>
              <w:t>Chosen approach</w:t>
            </w:r>
          </w:p>
        </w:tc>
        <w:tc>
          <w:tcPr>
            <w:tcW w:w="5239" w:type="dxa"/>
            <w:gridSpan w:val="2"/>
          </w:tcPr>
          <w:p w:rsidR="00AF7028" w:rsidRPr="00A236D8" w:rsidRDefault="00A236D8" w:rsidP="00AF7028">
            <w:pPr>
              <w:rPr>
                <w:b/>
              </w:rPr>
            </w:pPr>
            <w:r w:rsidRPr="00A236D8">
              <w:rPr>
                <w:b/>
              </w:rPr>
              <w:t>Impact/review</w:t>
            </w:r>
          </w:p>
        </w:tc>
      </w:tr>
      <w:tr w:rsidR="00AF7028" w:rsidTr="00AF7028">
        <w:tc>
          <w:tcPr>
            <w:tcW w:w="4531" w:type="dxa"/>
          </w:tcPr>
          <w:p w:rsidR="00A236D8" w:rsidRDefault="0077626E" w:rsidP="00AF7028">
            <w:r>
              <w:t xml:space="preserve">All functions of school life can be completed remotely – included remote learning set up </w:t>
            </w:r>
          </w:p>
        </w:tc>
        <w:tc>
          <w:tcPr>
            <w:tcW w:w="5387" w:type="dxa"/>
          </w:tcPr>
          <w:p w:rsidR="00AF7028" w:rsidRDefault="0077626E" w:rsidP="00AF7028">
            <w:r>
              <w:t>Provision of laptops for key Senior Leaders to access network from home (£1760)</w:t>
            </w:r>
          </w:p>
        </w:tc>
        <w:tc>
          <w:tcPr>
            <w:tcW w:w="5239" w:type="dxa"/>
            <w:gridSpan w:val="2"/>
          </w:tcPr>
          <w:p w:rsidR="00AF7028" w:rsidRDefault="00AF7028" w:rsidP="00AF7028"/>
        </w:tc>
      </w:tr>
      <w:tr w:rsidR="0077626E" w:rsidTr="00AF7028">
        <w:tc>
          <w:tcPr>
            <w:tcW w:w="4531" w:type="dxa"/>
          </w:tcPr>
          <w:p w:rsidR="0077626E" w:rsidRDefault="0077626E" w:rsidP="00AF7028">
            <w:r>
              <w:t xml:space="preserve">Facilitates staff working from home if needing to isolate and provides a loan system to families who are having to isolate and learn from home </w:t>
            </w:r>
          </w:p>
        </w:tc>
        <w:tc>
          <w:tcPr>
            <w:tcW w:w="5387" w:type="dxa"/>
          </w:tcPr>
          <w:p w:rsidR="0077626E" w:rsidRDefault="0077626E" w:rsidP="00AF7028">
            <w:r>
              <w:t>Update/conversion of school laptops to Chrome Books and expansion of memory (£1810.97)</w:t>
            </w:r>
          </w:p>
          <w:p w:rsidR="0077626E" w:rsidRDefault="0077626E" w:rsidP="00AF7028"/>
        </w:tc>
        <w:tc>
          <w:tcPr>
            <w:tcW w:w="5239" w:type="dxa"/>
            <w:gridSpan w:val="2"/>
          </w:tcPr>
          <w:p w:rsidR="0077626E" w:rsidRDefault="0077626E" w:rsidP="00AF7028"/>
        </w:tc>
      </w:tr>
      <w:tr w:rsidR="0048197E" w:rsidTr="00AF7028">
        <w:tc>
          <w:tcPr>
            <w:tcW w:w="4531" w:type="dxa"/>
          </w:tcPr>
          <w:p w:rsidR="0048197E" w:rsidRDefault="004B57DD" w:rsidP="00AF7028">
            <w:r>
              <w:t xml:space="preserve">Ensure that maths learning at home matches the maths learning which is happening in school </w:t>
            </w:r>
          </w:p>
        </w:tc>
        <w:tc>
          <w:tcPr>
            <w:tcW w:w="5387" w:type="dxa"/>
          </w:tcPr>
          <w:p w:rsidR="0048197E" w:rsidRDefault="0048197E" w:rsidP="00AF7028">
            <w:r>
              <w:t>White Rose subscription (£139)</w:t>
            </w:r>
          </w:p>
        </w:tc>
        <w:tc>
          <w:tcPr>
            <w:tcW w:w="5239" w:type="dxa"/>
            <w:gridSpan w:val="2"/>
          </w:tcPr>
          <w:p w:rsidR="0048197E" w:rsidRDefault="0048197E" w:rsidP="00AF7028"/>
        </w:tc>
      </w:tr>
      <w:tr w:rsidR="0048197E" w:rsidTr="00AF7028">
        <w:tc>
          <w:tcPr>
            <w:tcW w:w="4531" w:type="dxa"/>
          </w:tcPr>
          <w:p w:rsidR="0048197E" w:rsidRDefault="00F41D82" w:rsidP="00AF7028">
            <w:r>
              <w:t xml:space="preserve">Ensure access to high quality texts, matched to children’s reading age and interest which allows all children to continue to read from home (accessible on all devices) </w:t>
            </w:r>
          </w:p>
        </w:tc>
        <w:tc>
          <w:tcPr>
            <w:tcW w:w="5387" w:type="dxa"/>
          </w:tcPr>
          <w:p w:rsidR="0048197E" w:rsidRDefault="0048197E" w:rsidP="00AF7028">
            <w:r>
              <w:t>Bug Club Subscription (£1496.51)</w:t>
            </w:r>
          </w:p>
        </w:tc>
        <w:tc>
          <w:tcPr>
            <w:tcW w:w="5239" w:type="dxa"/>
            <w:gridSpan w:val="2"/>
          </w:tcPr>
          <w:p w:rsidR="0048197E" w:rsidRDefault="0048197E" w:rsidP="00AF7028"/>
        </w:tc>
      </w:tr>
      <w:tr w:rsidR="0048197E" w:rsidTr="00AF7028">
        <w:tc>
          <w:tcPr>
            <w:tcW w:w="4531" w:type="dxa"/>
          </w:tcPr>
          <w:p w:rsidR="0048197E" w:rsidRDefault="00C868F8" w:rsidP="00AF7028">
            <w:r>
              <w:t xml:space="preserve">Children’s number fluency supported </w:t>
            </w:r>
          </w:p>
        </w:tc>
        <w:tc>
          <w:tcPr>
            <w:tcW w:w="5387" w:type="dxa"/>
          </w:tcPr>
          <w:p w:rsidR="0048197E" w:rsidRDefault="0048197E" w:rsidP="00AF7028">
            <w:r>
              <w:t xml:space="preserve">Times Tables Rockstar subscription </w:t>
            </w:r>
            <w:r w:rsidR="00F85A64">
              <w:t>(£75.56)</w:t>
            </w:r>
          </w:p>
        </w:tc>
        <w:tc>
          <w:tcPr>
            <w:tcW w:w="5239" w:type="dxa"/>
            <w:gridSpan w:val="2"/>
          </w:tcPr>
          <w:p w:rsidR="0048197E" w:rsidRDefault="0048197E" w:rsidP="00AF7028"/>
        </w:tc>
      </w:tr>
      <w:tr w:rsidR="00F85A64" w:rsidTr="00AF7028">
        <w:tc>
          <w:tcPr>
            <w:tcW w:w="4531" w:type="dxa"/>
          </w:tcPr>
          <w:p w:rsidR="00F85A64" w:rsidRDefault="00C868F8" w:rsidP="00AF7028">
            <w:r>
              <w:t>Children’s number fluency supported</w:t>
            </w:r>
          </w:p>
        </w:tc>
        <w:tc>
          <w:tcPr>
            <w:tcW w:w="5387" w:type="dxa"/>
          </w:tcPr>
          <w:p w:rsidR="00F85A64" w:rsidRDefault="00F85A64" w:rsidP="00AF7028">
            <w:proofErr w:type="spellStart"/>
            <w:r>
              <w:t>Numbots</w:t>
            </w:r>
            <w:proofErr w:type="spellEnd"/>
            <w:r>
              <w:t xml:space="preserve"> subscriptions (£90.87)</w:t>
            </w:r>
          </w:p>
        </w:tc>
        <w:tc>
          <w:tcPr>
            <w:tcW w:w="5239" w:type="dxa"/>
            <w:gridSpan w:val="2"/>
          </w:tcPr>
          <w:p w:rsidR="00F85A64" w:rsidRDefault="00F85A64" w:rsidP="00AF7028"/>
        </w:tc>
      </w:tr>
      <w:tr w:rsidR="00F41D82" w:rsidTr="00AF7028">
        <w:tc>
          <w:tcPr>
            <w:tcW w:w="4531" w:type="dxa"/>
          </w:tcPr>
          <w:p w:rsidR="00F41D82" w:rsidRDefault="00F41D82" w:rsidP="00AF7028">
            <w:r>
              <w:t xml:space="preserve">Clear indication of identifiable gaps in reading and maths on children’s return to school </w:t>
            </w:r>
          </w:p>
        </w:tc>
        <w:tc>
          <w:tcPr>
            <w:tcW w:w="5387" w:type="dxa"/>
          </w:tcPr>
          <w:p w:rsidR="00F41D82" w:rsidRDefault="00F41D82" w:rsidP="00AF7028">
            <w:r>
              <w:t>Baseline Assessments (</w:t>
            </w:r>
            <w:r w:rsidR="001A5C93">
              <w:t>£1,512)</w:t>
            </w:r>
          </w:p>
        </w:tc>
        <w:tc>
          <w:tcPr>
            <w:tcW w:w="5239" w:type="dxa"/>
            <w:gridSpan w:val="2"/>
          </w:tcPr>
          <w:p w:rsidR="00F41D82" w:rsidRDefault="00F41D82" w:rsidP="00AF7028"/>
        </w:tc>
      </w:tr>
      <w:tr w:rsidR="00AD0A29" w:rsidTr="00AF7028">
        <w:tc>
          <w:tcPr>
            <w:tcW w:w="4531" w:type="dxa"/>
          </w:tcPr>
          <w:p w:rsidR="00AD0A29" w:rsidRDefault="00CE3490" w:rsidP="00AF7028">
            <w:r>
              <w:t xml:space="preserve">Collective understanding of WPPS’ approach to the recovery curriculum and approaches impact in progress and outcomes for all learners </w:t>
            </w:r>
          </w:p>
        </w:tc>
        <w:tc>
          <w:tcPr>
            <w:tcW w:w="5387" w:type="dxa"/>
          </w:tcPr>
          <w:p w:rsidR="00AD0A29" w:rsidRDefault="00D542E0" w:rsidP="00AF7028">
            <w:r>
              <w:t xml:space="preserve">INSET session on ‘recovery curriculum’ </w:t>
            </w:r>
            <w:r w:rsidR="00A73C74">
              <w:t>(£103.80)</w:t>
            </w:r>
          </w:p>
        </w:tc>
        <w:tc>
          <w:tcPr>
            <w:tcW w:w="5239" w:type="dxa"/>
            <w:gridSpan w:val="2"/>
          </w:tcPr>
          <w:p w:rsidR="00AD0A29" w:rsidRDefault="00AD0A29" w:rsidP="00AF7028"/>
        </w:tc>
      </w:tr>
      <w:tr w:rsidR="00ED4ED3" w:rsidTr="00AF7028">
        <w:tc>
          <w:tcPr>
            <w:tcW w:w="4531" w:type="dxa"/>
          </w:tcPr>
          <w:p w:rsidR="00ED4ED3" w:rsidRDefault="00ED4ED3" w:rsidP="00AF7028">
            <w:r>
              <w:t xml:space="preserve">Children can access all resources needed for learning in a </w:t>
            </w:r>
            <w:proofErr w:type="spellStart"/>
            <w:r>
              <w:t>Covid</w:t>
            </w:r>
            <w:proofErr w:type="spellEnd"/>
            <w:r>
              <w:t xml:space="preserve"> secure way </w:t>
            </w:r>
          </w:p>
        </w:tc>
        <w:tc>
          <w:tcPr>
            <w:tcW w:w="5387" w:type="dxa"/>
          </w:tcPr>
          <w:p w:rsidR="00ED4ED3" w:rsidRDefault="00ED4ED3" w:rsidP="00AF7028">
            <w:r>
              <w:t>Stationery packs</w:t>
            </w:r>
            <w:r w:rsidR="00822498">
              <w:t xml:space="preserve"> (</w:t>
            </w:r>
            <w:r w:rsidR="002D7E71">
              <w:t>£867.29)</w:t>
            </w:r>
          </w:p>
        </w:tc>
        <w:tc>
          <w:tcPr>
            <w:tcW w:w="5239" w:type="dxa"/>
            <w:gridSpan w:val="2"/>
          </w:tcPr>
          <w:p w:rsidR="00ED4ED3" w:rsidRDefault="00ED4ED3" w:rsidP="00AF7028"/>
        </w:tc>
      </w:tr>
      <w:tr w:rsidR="007204CB" w:rsidTr="00AF7028">
        <w:tc>
          <w:tcPr>
            <w:tcW w:w="4531" w:type="dxa"/>
          </w:tcPr>
          <w:p w:rsidR="007204CB" w:rsidRDefault="007204CB" w:rsidP="00AF7028">
            <w:r>
              <w:t xml:space="preserve">All learning completed whilst out of school can be reviewed by teachers to identify misconceptions/areas for support </w:t>
            </w:r>
          </w:p>
        </w:tc>
        <w:tc>
          <w:tcPr>
            <w:tcW w:w="5387" w:type="dxa"/>
          </w:tcPr>
          <w:p w:rsidR="007204CB" w:rsidRDefault="007204CB" w:rsidP="00AF7028">
            <w:r>
              <w:t xml:space="preserve">Home Learning books – for recording any learning carried out during closures/isolations </w:t>
            </w:r>
            <w:r w:rsidR="00822498">
              <w:t>(£230.45)</w:t>
            </w:r>
          </w:p>
        </w:tc>
        <w:tc>
          <w:tcPr>
            <w:tcW w:w="5239" w:type="dxa"/>
            <w:gridSpan w:val="2"/>
          </w:tcPr>
          <w:p w:rsidR="007204CB" w:rsidRDefault="007204CB" w:rsidP="00AF7028"/>
        </w:tc>
      </w:tr>
      <w:tr w:rsidR="009625B0" w:rsidTr="00AF7028">
        <w:tc>
          <w:tcPr>
            <w:tcW w:w="4531" w:type="dxa"/>
          </w:tcPr>
          <w:p w:rsidR="009625B0" w:rsidRDefault="009625B0" w:rsidP="00AF7028">
            <w:r>
              <w:t xml:space="preserve">Broad and balanced curriculum maintained </w:t>
            </w:r>
          </w:p>
        </w:tc>
        <w:tc>
          <w:tcPr>
            <w:tcW w:w="5387" w:type="dxa"/>
          </w:tcPr>
          <w:p w:rsidR="009625B0" w:rsidRDefault="009625B0" w:rsidP="00AF7028">
            <w:r>
              <w:t>French trolley and resources (£184.02)</w:t>
            </w:r>
          </w:p>
        </w:tc>
        <w:tc>
          <w:tcPr>
            <w:tcW w:w="5239" w:type="dxa"/>
            <w:gridSpan w:val="2"/>
          </w:tcPr>
          <w:p w:rsidR="009625B0" w:rsidRDefault="009625B0" w:rsidP="00AF7028"/>
        </w:tc>
      </w:tr>
      <w:tr w:rsidR="00E73588" w:rsidTr="00AF7028">
        <w:tc>
          <w:tcPr>
            <w:tcW w:w="4531" w:type="dxa"/>
          </w:tcPr>
          <w:p w:rsidR="00E73588" w:rsidRDefault="00E73588" w:rsidP="00AF7028">
            <w:r>
              <w:t xml:space="preserve">Early years children are able to safely use the carpet for learning inputs </w:t>
            </w:r>
          </w:p>
        </w:tc>
        <w:tc>
          <w:tcPr>
            <w:tcW w:w="5387" w:type="dxa"/>
          </w:tcPr>
          <w:p w:rsidR="00E73588" w:rsidRDefault="00E73588" w:rsidP="00AF7028">
            <w:r>
              <w:t>Early years seat spots (£390)</w:t>
            </w:r>
          </w:p>
        </w:tc>
        <w:tc>
          <w:tcPr>
            <w:tcW w:w="5239" w:type="dxa"/>
            <w:gridSpan w:val="2"/>
          </w:tcPr>
          <w:p w:rsidR="00E73588" w:rsidRDefault="00E73588" w:rsidP="00AF7028"/>
        </w:tc>
      </w:tr>
      <w:tr w:rsidR="00653B71" w:rsidTr="00AF7028">
        <w:tc>
          <w:tcPr>
            <w:tcW w:w="4531" w:type="dxa"/>
          </w:tcPr>
          <w:p w:rsidR="00653B71" w:rsidRDefault="00653B71" w:rsidP="00AF7028">
            <w:r>
              <w:t xml:space="preserve">All children in Reception, year 1 and 2 are supported to read at home and make incremental improvements by reading text appropriate for their phonic level. </w:t>
            </w:r>
          </w:p>
        </w:tc>
        <w:tc>
          <w:tcPr>
            <w:tcW w:w="5387" w:type="dxa"/>
          </w:tcPr>
          <w:p w:rsidR="00653B71" w:rsidRDefault="00653B71" w:rsidP="00AF7028">
            <w:r>
              <w:t>Phonically matched readers. (£10,000)</w:t>
            </w:r>
          </w:p>
        </w:tc>
        <w:tc>
          <w:tcPr>
            <w:tcW w:w="5239" w:type="dxa"/>
            <w:gridSpan w:val="2"/>
          </w:tcPr>
          <w:p w:rsidR="00653B71" w:rsidRDefault="00653B71" w:rsidP="00AF7028"/>
        </w:tc>
      </w:tr>
      <w:tr w:rsidR="00A236D8" w:rsidTr="0077626E">
        <w:trPr>
          <w:trHeight w:val="397"/>
        </w:trPr>
        <w:tc>
          <w:tcPr>
            <w:tcW w:w="12753" w:type="dxa"/>
            <w:gridSpan w:val="3"/>
            <w:shd w:val="clear" w:color="auto" w:fill="385623" w:themeFill="accent6" w:themeFillShade="80"/>
          </w:tcPr>
          <w:p w:rsidR="00A236D8" w:rsidRPr="00B85BDF" w:rsidRDefault="00A236D8" w:rsidP="0077626E">
            <w:pPr>
              <w:rPr>
                <w:b/>
                <w:color w:val="FFFFFF" w:themeColor="background1"/>
                <w:sz w:val="24"/>
              </w:rPr>
            </w:pPr>
            <w:r>
              <w:rPr>
                <w:b/>
                <w:color w:val="FFFFFF" w:themeColor="background1"/>
                <w:sz w:val="24"/>
              </w:rPr>
              <w:t>Planned Expenditure – Targeted Approaches</w:t>
            </w:r>
          </w:p>
        </w:tc>
        <w:tc>
          <w:tcPr>
            <w:tcW w:w="2404" w:type="dxa"/>
            <w:shd w:val="clear" w:color="auto" w:fill="385623" w:themeFill="accent6" w:themeFillShade="80"/>
          </w:tcPr>
          <w:p w:rsidR="00A236D8" w:rsidRPr="00B85BDF" w:rsidRDefault="00A236D8" w:rsidP="0077626E">
            <w:pPr>
              <w:jc w:val="center"/>
              <w:rPr>
                <w:b/>
                <w:color w:val="FFFFFF" w:themeColor="background1"/>
                <w:sz w:val="24"/>
              </w:rPr>
            </w:pPr>
            <w:r>
              <w:rPr>
                <w:b/>
                <w:color w:val="FFFFFF" w:themeColor="background1"/>
                <w:sz w:val="24"/>
              </w:rPr>
              <w:t>£</w:t>
            </w:r>
            <w:r w:rsidR="00A52A3D">
              <w:rPr>
                <w:b/>
                <w:color w:val="FFFFFF" w:themeColor="background1"/>
                <w:sz w:val="24"/>
              </w:rPr>
              <w:t>3</w:t>
            </w:r>
            <w:r w:rsidR="00A73C74">
              <w:rPr>
                <w:b/>
                <w:color w:val="FFFFFF" w:themeColor="background1"/>
                <w:sz w:val="24"/>
              </w:rPr>
              <w:t>2820.22</w:t>
            </w:r>
          </w:p>
        </w:tc>
      </w:tr>
      <w:tr w:rsidR="00A236D8" w:rsidRPr="00A236D8" w:rsidTr="0077626E">
        <w:tc>
          <w:tcPr>
            <w:tcW w:w="4531" w:type="dxa"/>
          </w:tcPr>
          <w:p w:rsidR="00A236D8" w:rsidRPr="00A236D8" w:rsidRDefault="00A236D8" w:rsidP="0077626E">
            <w:pPr>
              <w:rPr>
                <w:b/>
              </w:rPr>
            </w:pPr>
            <w:r w:rsidRPr="00A236D8">
              <w:rPr>
                <w:b/>
              </w:rPr>
              <w:t>Desired outcome</w:t>
            </w:r>
          </w:p>
        </w:tc>
        <w:tc>
          <w:tcPr>
            <w:tcW w:w="5387" w:type="dxa"/>
          </w:tcPr>
          <w:p w:rsidR="00A236D8" w:rsidRPr="00A236D8" w:rsidRDefault="00A236D8" w:rsidP="0077626E">
            <w:pPr>
              <w:rPr>
                <w:b/>
              </w:rPr>
            </w:pPr>
            <w:r w:rsidRPr="00A236D8">
              <w:rPr>
                <w:b/>
              </w:rPr>
              <w:t>Chosen approach</w:t>
            </w:r>
          </w:p>
        </w:tc>
        <w:tc>
          <w:tcPr>
            <w:tcW w:w="5239" w:type="dxa"/>
            <w:gridSpan w:val="2"/>
          </w:tcPr>
          <w:p w:rsidR="00A236D8" w:rsidRPr="00A236D8" w:rsidRDefault="00A236D8" w:rsidP="0077626E">
            <w:pPr>
              <w:rPr>
                <w:b/>
              </w:rPr>
            </w:pPr>
            <w:r w:rsidRPr="00A236D8">
              <w:rPr>
                <w:b/>
              </w:rPr>
              <w:t>Impact/review</w:t>
            </w:r>
          </w:p>
        </w:tc>
      </w:tr>
      <w:tr w:rsidR="00A236D8" w:rsidTr="00A236D8">
        <w:tc>
          <w:tcPr>
            <w:tcW w:w="4531" w:type="dxa"/>
          </w:tcPr>
          <w:p w:rsidR="00A236D8" w:rsidRDefault="0077626E" w:rsidP="00400010">
            <w:r>
              <w:t>All children to meet the expected standard for Phonics at either assessment point</w:t>
            </w:r>
          </w:p>
        </w:tc>
        <w:tc>
          <w:tcPr>
            <w:tcW w:w="5387" w:type="dxa"/>
          </w:tcPr>
          <w:p w:rsidR="00A236D8" w:rsidRDefault="0077626E" w:rsidP="00400010">
            <w:r>
              <w:t xml:space="preserve">Catch up phonics for Year 2 </w:t>
            </w:r>
            <w:r w:rsidR="00D17C4E">
              <w:t>(Speed</w:t>
            </w:r>
            <w:r w:rsidR="0048197E">
              <w:t xml:space="preserve"> S</w:t>
            </w:r>
            <w:r w:rsidR="00D17C4E">
              <w:t>ound Charts, supply cover, training) (£521.40)</w:t>
            </w:r>
          </w:p>
        </w:tc>
        <w:tc>
          <w:tcPr>
            <w:tcW w:w="5239" w:type="dxa"/>
            <w:gridSpan w:val="2"/>
          </w:tcPr>
          <w:p w:rsidR="00A236D8" w:rsidRDefault="00A236D8" w:rsidP="0077626E"/>
        </w:tc>
      </w:tr>
      <w:tr w:rsidR="0077626E" w:rsidTr="00A236D8">
        <w:tc>
          <w:tcPr>
            <w:tcW w:w="4531" w:type="dxa"/>
          </w:tcPr>
          <w:p w:rsidR="0077626E" w:rsidRDefault="0077626E" w:rsidP="00400010">
            <w:r>
              <w:lastRenderedPageBreak/>
              <w:t xml:space="preserve">Close specific identified gaps and build confidence and fluency </w:t>
            </w:r>
          </w:p>
        </w:tc>
        <w:tc>
          <w:tcPr>
            <w:tcW w:w="5387" w:type="dxa"/>
          </w:tcPr>
          <w:p w:rsidR="0077626E" w:rsidRDefault="0077626E" w:rsidP="00400010">
            <w:r>
              <w:t xml:space="preserve">Reading intervention for Year 2 </w:t>
            </w:r>
            <w:r w:rsidR="00633DBC">
              <w:t>(£1,119.54)</w:t>
            </w:r>
          </w:p>
        </w:tc>
        <w:tc>
          <w:tcPr>
            <w:tcW w:w="5239" w:type="dxa"/>
            <w:gridSpan w:val="2"/>
          </w:tcPr>
          <w:p w:rsidR="0077626E" w:rsidRDefault="0077626E" w:rsidP="0077626E"/>
        </w:tc>
      </w:tr>
      <w:tr w:rsidR="0077626E" w:rsidTr="00A236D8">
        <w:tc>
          <w:tcPr>
            <w:tcW w:w="4531" w:type="dxa"/>
          </w:tcPr>
          <w:p w:rsidR="0077626E" w:rsidRDefault="0077626E" w:rsidP="00400010">
            <w:r>
              <w:t xml:space="preserve">Close specific gaps and ensure children are ‘secondary ready’ through coverage of the curriculum by the end of the primary phase </w:t>
            </w:r>
          </w:p>
        </w:tc>
        <w:tc>
          <w:tcPr>
            <w:tcW w:w="5387" w:type="dxa"/>
          </w:tcPr>
          <w:p w:rsidR="0077626E" w:rsidRDefault="0077626E" w:rsidP="00400010">
            <w:r>
              <w:t xml:space="preserve">Writing interventions for Year 6 </w:t>
            </w:r>
            <w:r w:rsidR="00633DBC">
              <w:t>(£</w:t>
            </w:r>
            <w:r w:rsidR="005E4C52">
              <w:t>1,080.78)</w:t>
            </w:r>
          </w:p>
        </w:tc>
        <w:tc>
          <w:tcPr>
            <w:tcW w:w="5239" w:type="dxa"/>
            <w:gridSpan w:val="2"/>
          </w:tcPr>
          <w:p w:rsidR="0077626E" w:rsidRDefault="0077626E" w:rsidP="0077626E"/>
        </w:tc>
      </w:tr>
      <w:tr w:rsidR="004B57DD" w:rsidTr="00A236D8">
        <w:tc>
          <w:tcPr>
            <w:tcW w:w="4531" w:type="dxa"/>
          </w:tcPr>
          <w:p w:rsidR="004B57DD" w:rsidRDefault="004B57DD" w:rsidP="00400010">
            <w:r>
              <w:t>Clinically Extremely Vulnerable child able to access learning produced in school, at home</w:t>
            </w:r>
          </w:p>
        </w:tc>
        <w:tc>
          <w:tcPr>
            <w:tcW w:w="5387" w:type="dxa"/>
          </w:tcPr>
          <w:p w:rsidR="004B57DD" w:rsidRDefault="004B57DD" w:rsidP="00400010">
            <w:r>
              <w:t>S</w:t>
            </w:r>
            <w:r w:rsidR="00400010">
              <w:t>m</w:t>
            </w:r>
            <w:r>
              <w:t>art</w:t>
            </w:r>
            <w:r w:rsidR="007204CB">
              <w:t xml:space="preserve"> N</w:t>
            </w:r>
            <w:r>
              <w:t>otebook Subscription (£98.50)</w:t>
            </w:r>
          </w:p>
        </w:tc>
        <w:tc>
          <w:tcPr>
            <w:tcW w:w="5239" w:type="dxa"/>
            <w:gridSpan w:val="2"/>
          </w:tcPr>
          <w:p w:rsidR="004B57DD" w:rsidRDefault="004B57DD" w:rsidP="0077626E"/>
        </w:tc>
      </w:tr>
      <w:tr w:rsidR="00A925DB" w:rsidTr="00A236D8">
        <w:tc>
          <w:tcPr>
            <w:tcW w:w="4531" w:type="dxa"/>
          </w:tcPr>
          <w:p w:rsidR="00A925DB" w:rsidRDefault="00A52A3D" w:rsidP="00400010">
            <w:r>
              <w:t xml:space="preserve">Gap closing for children in maths – performance from baseline to next assessment point shows positive progress </w:t>
            </w:r>
          </w:p>
        </w:tc>
        <w:tc>
          <w:tcPr>
            <w:tcW w:w="5387" w:type="dxa"/>
          </w:tcPr>
          <w:p w:rsidR="00A925DB" w:rsidRDefault="00A52A3D" w:rsidP="00400010">
            <w:r>
              <w:t>Third Space Learning 1:1 tuition for children identified as having significant gaps in learning in maths (as a result of school closures) (£30,000)</w:t>
            </w:r>
          </w:p>
        </w:tc>
        <w:tc>
          <w:tcPr>
            <w:tcW w:w="5239" w:type="dxa"/>
            <w:gridSpan w:val="2"/>
          </w:tcPr>
          <w:p w:rsidR="00A925DB" w:rsidRDefault="00A925DB" w:rsidP="0077626E"/>
        </w:tc>
      </w:tr>
      <w:tr w:rsidR="00A236D8" w:rsidTr="0077626E">
        <w:trPr>
          <w:trHeight w:val="397"/>
        </w:trPr>
        <w:tc>
          <w:tcPr>
            <w:tcW w:w="12753" w:type="dxa"/>
            <w:gridSpan w:val="3"/>
            <w:shd w:val="clear" w:color="auto" w:fill="385623" w:themeFill="accent6" w:themeFillShade="80"/>
          </w:tcPr>
          <w:p w:rsidR="00A236D8" w:rsidRPr="00B85BDF" w:rsidRDefault="00A236D8" w:rsidP="0077626E">
            <w:pPr>
              <w:rPr>
                <w:b/>
                <w:color w:val="FFFFFF" w:themeColor="background1"/>
                <w:sz w:val="24"/>
              </w:rPr>
            </w:pPr>
            <w:r>
              <w:rPr>
                <w:b/>
                <w:color w:val="FFFFFF" w:themeColor="background1"/>
                <w:sz w:val="24"/>
              </w:rPr>
              <w:t>Planned Expenditure – Wider Strategies</w:t>
            </w:r>
          </w:p>
        </w:tc>
        <w:tc>
          <w:tcPr>
            <w:tcW w:w="2404" w:type="dxa"/>
            <w:shd w:val="clear" w:color="auto" w:fill="385623" w:themeFill="accent6" w:themeFillShade="80"/>
          </w:tcPr>
          <w:p w:rsidR="00A236D8" w:rsidRPr="00B85BDF" w:rsidRDefault="00A236D8" w:rsidP="0077626E">
            <w:pPr>
              <w:jc w:val="center"/>
              <w:rPr>
                <w:b/>
                <w:color w:val="FFFFFF" w:themeColor="background1"/>
                <w:sz w:val="24"/>
              </w:rPr>
            </w:pPr>
            <w:r>
              <w:rPr>
                <w:b/>
                <w:color w:val="FFFFFF" w:themeColor="background1"/>
                <w:sz w:val="24"/>
              </w:rPr>
              <w:t>£</w:t>
            </w:r>
            <w:r w:rsidR="00A73C74">
              <w:rPr>
                <w:b/>
                <w:color w:val="FFFFFF" w:themeColor="background1"/>
                <w:sz w:val="24"/>
              </w:rPr>
              <w:t>504.60</w:t>
            </w:r>
          </w:p>
        </w:tc>
      </w:tr>
      <w:tr w:rsidR="00A236D8" w:rsidRPr="00A236D8" w:rsidTr="0077626E">
        <w:tc>
          <w:tcPr>
            <w:tcW w:w="4531" w:type="dxa"/>
          </w:tcPr>
          <w:p w:rsidR="00A236D8" w:rsidRPr="00A236D8" w:rsidRDefault="00A236D8" w:rsidP="0077626E">
            <w:pPr>
              <w:rPr>
                <w:b/>
              </w:rPr>
            </w:pPr>
            <w:r w:rsidRPr="00A236D8">
              <w:rPr>
                <w:b/>
              </w:rPr>
              <w:t>Desired outcome</w:t>
            </w:r>
          </w:p>
        </w:tc>
        <w:tc>
          <w:tcPr>
            <w:tcW w:w="5387" w:type="dxa"/>
          </w:tcPr>
          <w:p w:rsidR="00A236D8" w:rsidRPr="00A236D8" w:rsidRDefault="00A236D8" w:rsidP="0077626E">
            <w:pPr>
              <w:rPr>
                <w:b/>
              </w:rPr>
            </w:pPr>
            <w:r w:rsidRPr="00A236D8">
              <w:rPr>
                <w:b/>
              </w:rPr>
              <w:t>Chosen approach</w:t>
            </w:r>
          </w:p>
        </w:tc>
        <w:tc>
          <w:tcPr>
            <w:tcW w:w="5239" w:type="dxa"/>
            <w:gridSpan w:val="2"/>
          </w:tcPr>
          <w:p w:rsidR="00A236D8" w:rsidRPr="00A236D8" w:rsidRDefault="00A236D8" w:rsidP="0077626E">
            <w:pPr>
              <w:rPr>
                <w:b/>
              </w:rPr>
            </w:pPr>
            <w:r w:rsidRPr="00A236D8">
              <w:rPr>
                <w:b/>
              </w:rPr>
              <w:t>Impact/review</w:t>
            </w:r>
          </w:p>
        </w:tc>
      </w:tr>
      <w:tr w:rsidR="00A236D8" w:rsidTr="0077626E">
        <w:tc>
          <w:tcPr>
            <w:tcW w:w="4531" w:type="dxa"/>
          </w:tcPr>
          <w:p w:rsidR="00A236D8" w:rsidRDefault="0048197E" w:rsidP="0077626E">
            <w:r>
              <w:t xml:space="preserve">Continue with school wide enrichment including assemblies and messages – support for wellbeing and reintegration into school </w:t>
            </w:r>
          </w:p>
        </w:tc>
        <w:tc>
          <w:tcPr>
            <w:tcW w:w="5387" w:type="dxa"/>
          </w:tcPr>
          <w:p w:rsidR="00A236D8" w:rsidRDefault="00D17C4E" w:rsidP="0077626E">
            <w:proofErr w:type="gramStart"/>
            <w:r>
              <w:t>Webcams  (</w:t>
            </w:r>
            <w:proofErr w:type="gramEnd"/>
            <w:r>
              <w:t>£297)</w:t>
            </w:r>
          </w:p>
        </w:tc>
        <w:tc>
          <w:tcPr>
            <w:tcW w:w="5239" w:type="dxa"/>
            <w:gridSpan w:val="2"/>
          </w:tcPr>
          <w:p w:rsidR="00A236D8" w:rsidRDefault="00A236D8" w:rsidP="0077626E"/>
        </w:tc>
      </w:tr>
      <w:tr w:rsidR="0048197E" w:rsidTr="0077626E">
        <w:tc>
          <w:tcPr>
            <w:tcW w:w="4531" w:type="dxa"/>
          </w:tcPr>
          <w:p w:rsidR="0048197E" w:rsidRDefault="0048197E" w:rsidP="0077626E">
            <w:r>
              <w:t xml:space="preserve">Staff feel supported to support the mental wellbeing of the children (and their peers) on the return to school </w:t>
            </w:r>
          </w:p>
        </w:tc>
        <w:tc>
          <w:tcPr>
            <w:tcW w:w="5387" w:type="dxa"/>
          </w:tcPr>
          <w:p w:rsidR="0048197E" w:rsidRDefault="0048197E" w:rsidP="0077626E">
            <w:r>
              <w:t xml:space="preserve">Participation in Wellbeing for Education Return x2 Senior Leaders participating and cascading training </w:t>
            </w:r>
            <w:r w:rsidR="008D3E2F">
              <w:t>(</w:t>
            </w:r>
            <w:r w:rsidR="00A73C74">
              <w:t>£</w:t>
            </w:r>
            <w:r w:rsidR="008D3E2F">
              <w:t>207.60)</w:t>
            </w:r>
          </w:p>
        </w:tc>
        <w:tc>
          <w:tcPr>
            <w:tcW w:w="5239" w:type="dxa"/>
            <w:gridSpan w:val="2"/>
          </w:tcPr>
          <w:p w:rsidR="0048197E" w:rsidRDefault="0048197E" w:rsidP="0077626E"/>
        </w:tc>
      </w:tr>
    </w:tbl>
    <w:p w:rsidR="00000805" w:rsidRDefault="00000805"/>
    <w:sectPr w:rsidR="00000805" w:rsidSect="00B85BDF">
      <w:pgSz w:w="16838" w:h="11906" w:orient="landscape"/>
      <w:pgMar w:top="851"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DF"/>
    <w:rsid w:val="00000805"/>
    <w:rsid w:val="00154ECB"/>
    <w:rsid w:val="001A5C93"/>
    <w:rsid w:val="002D7E71"/>
    <w:rsid w:val="0031469F"/>
    <w:rsid w:val="00400010"/>
    <w:rsid w:val="0048197E"/>
    <w:rsid w:val="004B54C0"/>
    <w:rsid w:val="004B57DD"/>
    <w:rsid w:val="00502A57"/>
    <w:rsid w:val="005202D1"/>
    <w:rsid w:val="005E4C52"/>
    <w:rsid w:val="00633DBC"/>
    <w:rsid w:val="00653B71"/>
    <w:rsid w:val="007204CB"/>
    <w:rsid w:val="0077626E"/>
    <w:rsid w:val="00785AA7"/>
    <w:rsid w:val="00822498"/>
    <w:rsid w:val="008C310F"/>
    <w:rsid w:val="008D3E2F"/>
    <w:rsid w:val="0092066C"/>
    <w:rsid w:val="009625B0"/>
    <w:rsid w:val="00A236D8"/>
    <w:rsid w:val="00A52A3D"/>
    <w:rsid w:val="00A73C74"/>
    <w:rsid w:val="00A925DB"/>
    <w:rsid w:val="00AD0A29"/>
    <w:rsid w:val="00AF7028"/>
    <w:rsid w:val="00B501FB"/>
    <w:rsid w:val="00B849B7"/>
    <w:rsid w:val="00B85BDF"/>
    <w:rsid w:val="00C868F8"/>
    <w:rsid w:val="00CD7902"/>
    <w:rsid w:val="00CE3490"/>
    <w:rsid w:val="00D17C4E"/>
    <w:rsid w:val="00D542E0"/>
    <w:rsid w:val="00E07A37"/>
    <w:rsid w:val="00E73588"/>
    <w:rsid w:val="00ED4ED3"/>
    <w:rsid w:val="00F41D82"/>
    <w:rsid w:val="00F8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6BEA"/>
  <w15:chartTrackingRefBased/>
  <w15:docId w15:val="{72A44C34-1353-4032-8E1F-33D70FDA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Wimbledon Park Primary School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PLufkin</dc:creator>
  <cp:keywords/>
  <dc:description/>
  <cp:lastModifiedBy>LClogg</cp:lastModifiedBy>
  <cp:revision>29</cp:revision>
  <dcterms:created xsi:type="dcterms:W3CDTF">2020-11-16T11:15:00Z</dcterms:created>
  <dcterms:modified xsi:type="dcterms:W3CDTF">2020-11-24T08:24:00Z</dcterms:modified>
</cp:coreProperties>
</file>